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28C7E" w14:textId="297301FD" w:rsidR="00DE15A7" w:rsidRDefault="0007437C">
      <w:pPr>
        <w:pStyle w:val="Corpotesto"/>
        <w:spacing w:before="5"/>
        <w:rPr>
          <w:rFonts w:ascii="Times New Roman"/>
        </w:rPr>
      </w:pPr>
      <w:r>
        <w:rPr>
          <w:noProof/>
        </w:rPr>
        <w:pict w14:anchorId="09E175DB">
          <v:roundrect id="Rettangolo con angoli arrotondati 1" o:spid="_x0000_s1026" style="position:absolute;margin-left:-18pt;margin-top:-5.5pt;width:507.6pt;height:735.6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" filled="f" strokecolor="black [3213]" strokeweight="2pt"/>
        </w:pict>
      </w:r>
    </w:p>
    <w:p w14:paraId="33149092" w14:textId="47B67CCD" w:rsidR="00DE15A7" w:rsidRPr="0007437C" w:rsidRDefault="00A34A7C" w:rsidP="00A34A7C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07437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3EDEB22B" wp14:editId="0065F27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7437C">
        <w:rPr>
          <w:sz w:val="60"/>
          <w:szCs w:val="60"/>
          <w:lang w:val="it-IT"/>
        </w:rPr>
        <w:t>TAP CUT F510</w:t>
      </w:r>
    </w:p>
    <w:p w14:paraId="36FAFFDD" w14:textId="77777777" w:rsidR="00DE15A7" w:rsidRPr="0007437C" w:rsidRDefault="00DE15A7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509E030E" w14:textId="77777777" w:rsidR="0007437C" w:rsidRDefault="0007437C" w:rsidP="0007437C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proofErr w:type="spellStart"/>
      <w:r>
        <w:rPr>
          <w:b/>
          <w:w w:val="105"/>
          <w:sz w:val="24"/>
          <w:lang w:val="it-IT"/>
        </w:rPr>
        <w:t>TAP</w:t>
      </w:r>
      <w:proofErr w:type="spellEnd"/>
      <w:r>
        <w:rPr>
          <w:b/>
          <w:w w:val="105"/>
          <w:sz w:val="24"/>
          <w:lang w:val="it-IT"/>
        </w:rPr>
        <w:t xml:space="preserve"> </w:t>
      </w:r>
      <w:proofErr w:type="spellStart"/>
      <w:r>
        <w:rPr>
          <w:b/>
          <w:w w:val="105"/>
          <w:sz w:val="24"/>
          <w:lang w:val="it-IT"/>
        </w:rPr>
        <w:t>CUT</w:t>
      </w:r>
      <w:proofErr w:type="spellEnd"/>
      <w:r>
        <w:rPr>
          <w:b/>
          <w:w w:val="105"/>
          <w:sz w:val="24"/>
          <w:lang w:val="it-IT"/>
        </w:rPr>
        <w:t xml:space="preserve"> F510</w:t>
      </w:r>
      <w:r w:rsidRPr="004B5D88">
        <w:rPr>
          <w:b/>
          <w:spacing w:val="-15"/>
          <w:w w:val="105"/>
          <w:sz w:val="24"/>
          <w:lang w:val="it-IT"/>
        </w:rPr>
        <w:t xml:space="preserve"> </w:t>
      </w:r>
      <w:r w:rsidRPr="00C13A30">
        <w:rPr>
          <w:w w:val="105"/>
          <w:sz w:val="20"/>
          <w:szCs w:val="20"/>
          <w:lang w:val="it-IT"/>
        </w:rPr>
        <w:t xml:space="preserve">è un </w:t>
      </w:r>
      <w:r>
        <w:rPr>
          <w:w w:val="105"/>
          <w:sz w:val="20"/>
          <w:szCs w:val="20"/>
          <w:lang w:val="it-IT"/>
        </w:rPr>
        <w:t>olio</w:t>
      </w:r>
      <w:r w:rsidRPr="00C13A30">
        <w:rPr>
          <w:w w:val="105"/>
          <w:sz w:val="20"/>
          <w:szCs w:val="20"/>
          <w:lang w:val="it-IT"/>
        </w:rPr>
        <w:t xml:space="preserve"> da taglio </w:t>
      </w:r>
      <w:r>
        <w:rPr>
          <w:w w:val="105"/>
          <w:sz w:val="20"/>
          <w:szCs w:val="20"/>
          <w:lang w:val="it-IT"/>
        </w:rPr>
        <w:t>lubrorefrigerante specifico per lavorazioni meccaniche su</w:t>
      </w:r>
      <w:bookmarkStart w:id="0" w:name="_GoBack"/>
      <w:bookmarkEnd w:id="0"/>
      <w:r>
        <w:rPr>
          <w:w w:val="105"/>
          <w:sz w:val="20"/>
          <w:szCs w:val="20"/>
          <w:lang w:val="it-IT"/>
        </w:rPr>
        <w:t xml:space="preserve"> </w:t>
      </w:r>
      <w:r w:rsidRPr="00226C05">
        <w:rPr>
          <w:w w:val="105"/>
          <w:sz w:val="20"/>
          <w:szCs w:val="20"/>
          <w:lang w:val="it-IT"/>
        </w:rPr>
        <w:t xml:space="preserve">acciai </w:t>
      </w:r>
      <w:r>
        <w:rPr>
          <w:w w:val="105"/>
          <w:sz w:val="20"/>
          <w:szCs w:val="20"/>
          <w:lang w:val="it-IT"/>
        </w:rPr>
        <w:t>inox.</w:t>
      </w:r>
    </w:p>
    <w:p w14:paraId="58E80A26" w14:textId="77777777" w:rsidR="0007437C" w:rsidRPr="00C13A30" w:rsidRDefault="0007437C" w:rsidP="0007437C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La sua formulazione esente da cloro</w:t>
      </w:r>
      <w:r>
        <w:rPr>
          <w:w w:val="105"/>
          <w:sz w:val="20"/>
          <w:szCs w:val="20"/>
          <w:lang w:val="it-IT"/>
        </w:rPr>
        <w:t xml:space="preserve"> e ricca di additivi </w:t>
      </w:r>
      <w:proofErr w:type="spellStart"/>
      <w:r>
        <w:rPr>
          <w:w w:val="105"/>
          <w:sz w:val="20"/>
          <w:szCs w:val="20"/>
          <w:lang w:val="it-IT"/>
        </w:rPr>
        <w:t>EP</w:t>
      </w:r>
      <w:proofErr w:type="spellEnd"/>
      <w:r w:rsidRPr="00C13A30">
        <w:rPr>
          <w:w w:val="105"/>
          <w:sz w:val="20"/>
          <w:szCs w:val="20"/>
          <w:lang w:val="it-IT"/>
        </w:rPr>
        <w:t xml:space="preserve">, lo rende particolarmente adatto per le operazioni di asportazione truciolo come </w:t>
      </w:r>
      <w:r w:rsidRPr="00C13A30">
        <w:rPr>
          <w:sz w:val="20"/>
          <w:szCs w:val="20"/>
          <w:lang w:val="it-IT"/>
        </w:rPr>
        <w:t>foratura, tornitura, taglio e maschiatura.</w:t>
      </w:r>
    </w:p>
    <w:p w14:paraId="58DA3A61" w14:textId="1D3C08BB" w:rsidR="0007437C" w:rsidRPr="00C13A30" w:rsidRDefault="0007437C" w:rsidP="0007437C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sz w:val="20"/>
          <w:szCs w:val="20"/>
          <w:lang w:val="it-IT"/>
        </w:rPr>
        <w:t xml:space="preserve">Disponibile anche nella versione </w:t>
      </w:r>
      <w:r>
        <w:rPr>
          <w:sz w:val="20"/>
          <w:szCs w:val="20"/>
          <w:lang w:val="it-IT"/>
        </w:rPr>
        <w:t>liquida</w:t>
      </w:r>
      <w:r w:rsidRPr="00C13A30">
        <w:rPr>
          <w:sz w:val="20"/>
          <w:szCs w:val="20"/>
          <w:lang w:val="it-IT"/>
        </w:rPr>
        <w:t>.</w:t>
      </w:r>
      <w:r w:rsidRPr="00962C0F">
        <w:rPr>
          <w:rFonts w:ascii="Times New Roman"/>
          <w:noProof/>
          <w:lang w:val="it-IT"/>
        </w:rPr>
        <w:t xml:space="preserve"> </w:t>
      </w:r>
    </w:p>
    <w:p w14:paraId="28352C31" w14:textId="77777777" w:rsidR="00DE15A7" w:rsidRDefault="00DE15A7">
      <w:pPr>
        <w:pStyle w:val="Corpotesto"/>
        <w:rPr>
          <w:sz w:val="20"/>
        </w:rPr>
      </w:pPr>
    </w:p>
    <w:p w14:paraId="1AED0C26" w14:textId="77777777" w:rsidR="00DE15A7" w:rsidRDefault="00DE15A7">
      <w:pPr>
        <w:pStyle w:val="Corpotesto"/>
        <w:rPr>
          <w:sz w:val="20"/>
        </w:rPr>
      </w:pPr>
    </w:p>
    <w:p w14:paraId="15AFB117" w14:textId="77777777" w:rsidR="0007437C" w:rsidRPr="00860244" w:rsidRDefault="0007437C" w:rsidP="0007437C">
      <w:pPr>
        <w:ind w:left="115"/>
        <w:jc w:val="both"/>
        <w:rPr>
          <w:b/>
          <w:sz w:val="20"/>
          <w:szCs w:val="20"/>
        </w:rPr>
      </w:pPr>
      <w:proofErr w:type="spellStart"/>
      <w:r w:rsidRPr="00860244">
        <w:rPr>
          <w:b/>
          <w:sz w:val="20"/>
          <w:szCs w:val="20"/>
        </w:rPr>
        <w:t>CARATTERISTICHE</w:t>
      </w:r>
      <w:proofErr w:type="spellEnd"/>
      <w:r w:rsidRPr="00860244">
        <w:rPr>
          <w:b/>
          <w:sz w:val="20"/>
          <w:szCs w:val="20"/>
        </w:rPr>
        <w:t xml:space="preserve"> </w:t>
      </w:r>
      <w:proofErr w:type="spellStart"/>
      <w:r w:rsidRPr="00860244">
        <w:rPr>
          <w:b/>
          <w:sz w:val="20"/>
          <w:szCs w:val="20"/>
        </w:rPr>
        <w:t>CHIMICO-FISICHE</w:t>
      </w:r>
      <w:proofErr w:type="spellEnd"/>
    </w:p>
    <w:p w14:paraId="12F7D810" w14:textId="77777777" w:rsidR="00DE15A7" w:rsidRDefault="00DE15A7">
      <w:pPr>
        <w:pStyle w:val="Corpotesto"/>
        <w:rPr>
          <w:sz w:val="20"/>
        </w:rPr>
      </w:pPr>
    </w:p>
    <w:p w14:paraId="375CD2A8" w14:textId="77777777" w:rsidR="00DE15A7" w:rsidRDefault="00DE15A7">
      <w:pPr>
        <w:pStyle w:val="Corpotesto"/>
        <w:spacing w:before="9" w:after="1"/>
        <w:rPr>
          <w:b/>
          <w:sz w:val="1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3"/>
        <w:gridCol w:w="3969"/>
      </w:tblGrid>
      <w:tr w:rsidR="00DE15A7" w:rsidRPr="00554ABA" w14:paraId="5B3BAF3F" w14:textId="77777777" w:rsidTr="0007437C">
        <w:trPr>
          <w:trHeight w:val="549"/>
        </w:trPr>
        <w:tc>
          <w:tcPr>
            <w:tcW w:w="5233" w:type="dxa"/>
            <w:shd w:val="clear" w:color="auto" w:fill="EDEDED"/>
            <w:vAlign w:val="center"/>
          </w:tcPr>
          <w:p w14:paraId="2B859903" w14:textId="77777777" w:rsidR="00DE15A7" w:rsidRDefault="00BE3378" w:rsidP="0007437C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3969" w:type="dxa"/>
            <w:shd w:val="clear" w:color="auto" w:fill="EDEDED"/>
            <w:vAlign w:val="center"/>
          </w:tcPr>
          <w:p w14:paraId="3F4BD51E" w14:textId="77777777" w:rsidR="00DE15A7" w:rsidRPr="00BE3378" w:rsidRDefault="00BE3378" w:rsidP="0007437C">
            <w:pPr>
              <w:pStyle w:val="TableParagraph"/>
              <w:rPr>
                <w:sz w:val="17"/>
                <w:lang w:val="it-IT"/>
              </w:rPr>
            </w:pPr>
            <w:r w:rsidRPr="00BE3378">
              <w:rPr>
                <w:sz w:val="17"/>
                <w:lang w:val="it-IT"/>
              </w:rPr>
              <w:t>Liquido oleoso in dispersione gassosa</w:t>
            </w:r>
          </w:p>
        </w:tc>
      </w:tr>
      <w:tr w:rsidR="00DE15A7" w14:paraId="6C7EA7E7" w14:textId="77777777" w:rsidTr="0007437C">
        <w:trPr>
          <w:trHeight w:val="549"/>
        </w:trPr>
        <w:tc>
          <w:tcPr>
            <w:tcW w:w="5233" w:type="dxa"/>
            <w:vAlign w:val="center"/>
          </w:tcPr>
          <w:p w14:paraId="1BBEEB71" w14:textId="77777777" w:rsidR="00DE15A7" w:rsidRPr="00BE3378" w:rsidRDefault="00BE3378" w:rsidP="0007437C">
            <w:pPr>
              <w:pStyle w:val="TableParagraph"/>
              <w:ind w:left="114"/>
              <w:rPr>
                <w:sz w:val="17"/>
                <w:lang w:val="it-IT"/>
              </w:rPr>
            </w:pPr>
            <w:r w:rsidRPr="00BE3378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969" w:type="dxa"/>
            <w:vAlign w:val="center"/>
          </w:tcPr>
          <w:p w14:paraId="065B0294" w14:textId="77777777" w:rsidR="00DE15A7" w:rsidRDefault="00BE3378" w:rsidP="0007437C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Direzionale</w:t>
            </w:r>
            <w:proofErr w:type="spellEnd"/>
          </w:p>
        </w:tc>
      </w:tr>
      <w:tr w:rsidR="00DE15A7" w14:paraId="676C85F2" w14:textId="77777777" w:rsidTr="0007437C">
        <w:trPr>
          <w:trHeight w:val="549"/>
        </w:trPr>
        <w:tc>
          <w:tcPr>
            <w:tcW w:w="5233" w:type="dxa"/>
            <w:shd w:val="clear" w:color="auto" w:fill="EDEDED"/>
            <w:vAlign w:val="center"/>
          </w:tcPr>
          <w:p w14:paraId="51FC3557" w14:textId="77777777" w:rsidR="00DE15A7" w:rsidRPr="00BE3378" w:rsidRDefault="00BE3378" w:rsidP="0007437C">
            <w:pPr>
              <w:pStyle w:val="TableParagraph"/>
              <w:ind w:left="114"/>
              <w:rPr>
                <w:sz w:val="17"/>
                <w:lang w:val="it-IT"/>
              </w:rPr>
            </w:pPr>
            <w:r w:rsidRPr="00BE3378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3969" w:type="dxa"/>
            <w:shd w:val="clear" w:color="auto" w:fill="EDEDED"/>
            <w:vAlign w:val="center"/>
          </w:tcPr>
          <w:p w14:paraId="53971E26" w14:textId="77777777" w:rsidR="00DE15A7" w:rsidRDefault="00BE3378" w:rsidP="0007437C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Erogatore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supplementare</w:t>
            </w:r>
            <w:proofErr w:type="spellEnd"/>
            <w:r>
              <w:rPr>
                <w:sz w:val="17"/>
              </w:rPr>
              <w:t xml:space="preserve"> non </w:t>
            </w:r>
            <w:proofErr w:type="spellStart"/>
            <w:r>
              <w:rPr>
                <w:sz w:val="17"/>
              </w:rPr>
              <w:t>previsto</w:t>
            </w:r>
            <w:proofErr w:type="spellEnd"/>
          </w:p>
        </w:tc>
      </w:tr>
      <w:tr w:rsidR="00DE15A7" w14:paraId="78DC42C5" w14:textId="77777777" w:rsidTr="0007437C">
        <w:trPr>
          <w:trHeight w:val="557"/>
        </w:trPr>
        <w:tc>
          <w:tcPr>
            <w:tcW w:w="5233" w:type="dxa"/>
            <w:vAlign w:val="center"/>
          </w:tcPr>
          <w:p w14:paraId="495B9591" w14:textId="77777777" w:rsidR="00DE15A7" w:rsidRDefault="00BE3378" w:rsidP="0007437C">
            <w:pPr>
              <w:pStyle w:val="TableParagraph"/>
              <w:spacing w:before="42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Cannuccia</w:t>
            </w:r>
            <w:proofErr w:type="spellEnd"/>
          </w:p>
        </w:tc>
        <w:tc>
          <w:tcPr>
            <w:tcW w:w="3969" w:type="dxa"/>
            <w:vAlign w:val="center"/>
          </w:tcPr>
          <w:p w14:paraId="5985B0CB" w14:textId="77777777" w:rsidR="00DE15A7" w:rsidRDefault="00BE3378" w:rsidP="0007437C">
            <w:pPr>
              <w:pStyle w:val="TableParagraph"/>
              <w:spacing w:before="42"/>
              <w:rPr>
                <w:sz w:val="17"/>
              </w:rPr>
            </w:pPr>
            <w:proofErr w:type="spellStart"/>
            <w:r>
              <w:rPr>
                <w:sz w:val="17"/>
              </w:rPr>
              <w:t>Disponibile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nella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scatola</w:t>
            </w:r>
            <w:proofErr w:type="spellEnd"/>
          </w:p>
        </w:tc>
      </w:tr>
      <w:tr w:rsidR="00DE15A7" w14:paraId="33765AF6" w14:textId="77777777" w:rsidTr="0007437C">
        <w:trPr>
          <w:trHeight w:val="549"/>
        </w:trPr>
        <w:tc>
          <w:tcPr>
            <w:tcW w:w="5233" w:type="dxa"/>
            <w:shd w:val="clear" w:color="auto" w:fill="EDEDED"/>
            <w:vAlign w:val="center"/>
          </w:tcPr>
          <w:p w14:paraId="34FA7667" w14:textId="77777777" w:rsidR="00DE15A7" w:rsidRDefault="00BE3378" w:rsidP="0007437C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3969" w:type="dxa"/>
            <w:shd w:val="clear" w:color="auto" w:fill="EDEDED"/>
            <w:vAlign w:val="center"/>
          </w:tcPr>
          <w:p w14:paraId="079D2A8F" w14:textId="77777777" w:rsidR="00DE15A7" w:rsidRDefault="00BE3378" w:rsidP="0007437C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Paglierino</w:t>
            </w:r>
            <w:proofErr w:type="spellEnd"/>
          </w:p>
        </w:tc>
      </w:tr>
      <w:tr w:rsidR="00DE15A7" w14:paraId="6F51EDD0" w14:textId="77777777" w:rsidTr="0007437C">
        <w:trPr>
          <w:trHeight w:val="549"/>
        </w:trPr>
        <w:tc>
          <w:tcPr>
            <w:tcW w:w="5233" w:type="dxa"/>
            <w:vAlign w:val="center"/>
          </w:tcPr>
          <w:p w14:paraId="5E8C4CE2" w14:textId="77777777" w:rsidR="00DE15A7" w:rsidRDefault="00BE3378" w:rsidP="0007437C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3969" w:type="dxa"/>
            <w:vAlign w:val="center"/>
          </w:tcPr>
          <w:p w14:paraId="476E58D0" w14:textId="77777777" w:rsidR="00DE15A7" w:rsidRDefault="00BE3378" w:rsidP="0007437C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</w:tbl>
    <w:p w14:paraId="351D44FE" w14:textId="77777777" w:rsidR="00DE15A7" w:rsidRDefault="00BE3378">
      <w:pPr>
        <w:pStyle w:val="Titolo3"/>
        <w:spacing w:before="196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3EEC84A3" w14:textId="77777777" w:rsidR="00DE15A7" w:rsidRPr="00BE3378" w:rsidRDefault="00BE3378">
      <w:pPr>
        <w:pStyle w:val="Corpotesto"/>
        <w:spacing w:before="23"/>
        <w:ind w:left="836"/>
        <w:rPr>
          <w:lang w:val="it-IT"/>
        </w:rPr>
      </w:pPr>
      <w:r w:rsidRPr="00BE3378">
        <w:rPr>
          <w:w w:val="105"/>
          <w:lang w:val="it-IT"/>
        </w:rPr>
        <w:t>oli minerali raffinati, additivi EP, propellente Propano/Butano.</w:t>
      </w:r>
    </w:p>
    <w:p w14:paraId="12A93C2E" w14:textId="77777777" w:rsidR="00DE15A7" w:rsidRPr="00BE3378" w:rsidRDefault="00BE3378">
      <w:pPr>
        <w:pStyle w:val="Titolo3"/>
        <w:spacing w:before="23"/>
        <w:jc w:val="both"/>
        <w:rPr>
          <w:lang w:val="it-IT"/>
        </w:rPr>
      </w:pPr>
      <w:r w:rsidRPr="00BE3378">
        <w:rPr>
          <w:color w:val="0D0D0D"/>
          <w:w w:val="105"/>
          <w:lang w:val="it-IT"/>
        </w:rPr>
        <w:t>Non contiene</w:t>
      </w:r>
    </w:p>
    <w:p w14:paraId="017677D2" w14:textId="77777777" w:rsidR="00DE15A7" w:rsidRPr="00BE3378" w:rsidRDefault="00BE3378">
      <w:pPr>
        <w:pStyle w:val="Corpotesto"/>
        <w:spacing w:before="24"/>
        <w:ind w:left="823"/>
        <w:rPr>
          <w:lang w:val="it-IT"/>
        </w:rPr>
      </w:pPr>
      <w:r w:rsidRPr="00BE3378">
        <w:rPr>
          <w:w w:val="105"/>
          <w:lang w:val="it-IT"/>
        </w:rPr>
        <w:t>cloro.</w:t>
      </w:r>
    </w:p>
    <w:p w14:paraId="6FA105EA" w14:textId="77777777" w:rsidR="00DE15A7" w:rsidRPr="00BE3378" w:rsidRDefault="00DE15A7">
      <w:pPr>
        <w:pStyle w:val="Corpotesto"/>
        <w:rPr>
          <w:sz w:val="20"/>
          <w:lang w:val="it-IT"/>
        </w:rPr>
      </w:pPr>
    </w:p>
    <w:p w14:paraId="0F6CD121" w14:textId="77777777" w:rsidR="00DE15A7" w:rsidRPr="00BE3378" w:rsidRDefault="00DE15A7">
      <w:pPr>
        <w:pStyle w:val="Corpotesto"/>
        <w:rPr>
          <w:sz w:val="20"/>
          <w:lang w:val="it-IT"/>
        </w:rPr>
      </w:pPr>
    </w:p>
    <w:p w14:paraId="5C9FA0D9" w14:textId="77777777" w:rsidR="00DE15A7" w:rsidRPr="0007437C" w:rsidRDefault="00DE15A7">
      <w:pPr>
        <w:pStyle w:val="Corpotesto"/>
        <w:rPr>
          <w:sz w:val="20"/>
          <w:szCs w:val="20"/>
          <w:lang w:val="it-IT"/>
        </w:rPr>
      </w:pPr>
    </w:p>
    <w:p w14:paraId="72EA9812" w14:textId="77777777" w:rsidR="00DE15A7" w:rsidRPr="0007437C" w:rsidRDefault="00BE3378">
      <w:pPr>
        <w:pStyle w:val="Titolo2"/>
        <w:spacing w:before="157"/>
        <w:jc w:val="both"/>
        <w:rPr>
          <w:sz w:val="20"/>
          <w:szCs w:val="20"/>
          <w:lang w:val="it-IT"/>
        </w:rPr>
      </w:pPr>
      <w:r w:rsidRPr="0007437C">
        <w:rPr>
          <w:sz w:val="20"/>
          <w:szCs w:val="20"/>
          <w:lang w:val="it-IT"/>
        </w:rPr>
        <w:t>MODALITA' D’USO RACCOMANDATE</w:t>
      </w:r>
    </w:p>
    <w:p w14:paraId="3F7C0CAA" w14:textId="77777777" w:rsidR="0007437C" w:rsidRDefault="0007437C">
      <w:pPr>
        <w:pStyle w:val="Corpotesto"/>
        <w:spacing w:line="266" w:lineRule="auto"/>
        <w:ind w:left="115"/>
        <w:rPr>
          <w:w w:val="105"/>
          <w:lang w:val="it-IT"/>
        </w:rPr>
      </w:pPr>
    </w:p>
    <w:p w14:paraId="1D8D2992" w14:textId="07A0C968" w:rsidR="00DE15A7" w:rsidRPr="00BE3378" w:rsidRDefault="0007437C">
      <w:pPr>
        <w:pStyle w:val="Corpotesto"/>
        <w:spacing w:line="266" w:lineRule="auto"/>
        <w:ind w:left="115"/>
        <w:rPr>
          <w:lang w:val="it-IT"/>
        </w:rPr>
      </w:pPr>
      <w:r>
        <w:rPr>
          <w:w w:val="105"/>
          <w:lang w:val="it-IT"/>
        </w:rPr>
        <w:t>P</w:t>
      </w:r>
      <w:r w:rsidR="00BE3378" w:rsidRPr="00BE3378">
        <w:rPr>
          <w:w w:val="105"/>
          <w:lang w:val="it-IT"/>
        </w:rPr>
        <w:t>er un corretto uso del prodotto, agitare la bombola prima dell’uso. Spruzzare sulle parti in lavorazione, da circa 20 cm di distanza, un velo di prodotto mantenendo l'erogatore in posizione verticale.</w:t>
      </w:r>
    </w:p>
    <w:p w14:paraId="4B808919" w14:textId="77777777" w:rsidR="00DE15A7" w:rsidRPr="00BE3378" w:rsidRDefault="00DE15A7">
      <w:pPr>
        <w:pStyle w:val="Corpotesto"/>
        <w:spacing w:before="10"/>
        <w:rPr>
          <w:lang w:val="it-IT"/>
        </w:rPr>
      </w:pPr>
    </w:p>
    <w:p w14:paraId="4E1C72C6" w14:textId="77777777" w:rsidR="00DE15A7" w:rsidRDefault="00DE15A7">
      <w:pPr>
        <w:pStyle w:val="Corpotesto"/>
        <w:rPr>
          <w:i/>
          <w:lang w:val="it-IT"/>
        </w:rPr>
      </w:pPr>
    </w:p>
    <w:p w14:paraId="131D516F" w14:textId="77777777" w:rsidR="001E148D" w:rsidRDefault="001E148D">
      <w:pPr>
        <w:pStyle w:val="Corpotesto"/>
        <w:rPr>
          <w:i/>
          <w:lang w:val="it-IT"/>
        </w:rPr>
      </w:pPr>
    </w:p>
    <w:p w14:paraId="66C9D59B" w14:textId="77777777" w:rsidR="001E148D" w:rsidRDefault="001E148D">
      <w:pPr>
        <w:pStyle w:val="Corpotesto"/>
        <w:rPr>
          <w:i/>
          <w:lang w:val="it-IT"/>
        </w:rPr>
      </w:pPr>
    </w:p>
    <w:p w14:paraId="50418BD9" w14:textId="684A61C9" w:rsidR="00A34A7C" w:rsidRDefault="00A34A7C">
      <w:pPr>
        <w:pStyle w:val="Corpotesto"/>
        <w:rPr>
          <w:i/>
          <w:lang w:val="it-IT"/>
        </w:rPr>
      </w:pPr>
    </w:p>
    <w:p w14:paraId="08965721" w14:textId="0A99512D" w:rsidR="00A34A7C" w:rsidRDefault="00A34A7C">
      <w:pPr>
        <w:pStyle w:val="Corpotesto"/>
        <w:rPr>
          <w:i/>
          <w:lang w:val="it-IT"/>
        </w:rPr>
      </w:pPr>
    </w:p>
    <w:p w14:paraId="36CBEA10" w14:textId="47DF42ED" w:rsidR="00A34A7C" w:rsidRDefault="00A34A7C">
      <w:pPr>
        <w:pStyle w:val="Corpotesto"/>
        <w:rPr>
          <w:i/>
          <w:lang w:val="it-IT"/>
        </w:rPr>
      </w:pPr>
    </w:p>
    <w:p w14:paraId="5B175324" w14:textId="28DD6C23" w:rsidR="00A34A7C" w:rsidRDefault="00A34A7C">
      <w:pPr>
        <w:pStyle w:val="Corpotesto"/>
        <w:rPr>
          <w:i/>
          <w:lang w:val="it-IT"/>
        </w:rPr>
      </w:pPr>
    </w:p>
    <w:p w14:paraId="308ED205" w14:textId="77777777" w:rsidR="00A34A7C" w:rsidRPr="00BE3378" w:rsidRDefault="00A34A7C">
      <w:pPr>
        <w:pStyle w:val="Corpotesto"/>
        <w:rPr>
          <w:i/>
          <w:lang w:val="it-IT"/>
        </w:rPr>
      </w:pPr>
    </w:p>
    <w:p w14:paraId="408A4643" w14:textId="77777777" w:rsidR="00DE15A7" w:rsidRPr="00BE3378" w:rsidRDefault="00DE15A7">
      <w:pPr>
        <w:pStyle w:val="Corpotesto"/>
        <w:rPr>
          <w:i/>
          <w:lang w:val="it-IT"/>
        </w:rPr>
      </w:pPr>
    </w:p>
    <w:p w14:paraId="43FDD9B6" w14:textId="77777777" w:rsidR="00A34A7C" w:rsidRPr="00436F64" w:rsidRDefault="00A34A7C" w:rsidP="00A34A7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7C95F1CE" w14:textId="77777777" w:rsidR="00A34A7C" w:rsidRPr="00436F64" w:rsidRDefault="00A34A7C" w:rsidP="00A34A7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1F6A721C" w14:textId="77777777" w:rsidR="00A34A7C" w:rsidRPr="00436F64" w:rsidRDefault="00A34A7C" w:rsidP="00A34A7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51A862D4" w14:textId="77777777" w:rsidR="00A34A7C" w:rsidRDefault="00DE4D1C" w:rsidP="00A34A7C">
      <w:pPr>
        <w:pStyle w:val="Corpotesto"/>
        <w:jc w:val="center"/>
        <w:rPr>
          <w:sz w:val="22"/>
          <w:lang w:val="it-IT"/>
        </w:rPr>
      </w:pPr>
      <w:hyperlink r:id="rId7" w:history="1">
        <w:r w:rsidR="00A34A7C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3E443DF" w14:textId="77777777" w:rsidR="00A34A7C" w:rsidRDefault="00A34A7C" w:rsidP="00A34A7C">
      <w:pPr>
        <w:pStyle w:val="Corpotesto"/>
        <w:jc w:val="center"/>
        <w:rPr>
          <w:sz w:val="22"/>
          <w:lang w:val="it-IT"/>
        </w:rPr>
      </w:pPr>
    </w:p>
    <w:p w14:paraId="270C8839" w14:textId="77777777" w:rsidR="00A34A7C" w:rsidRPr="00436F64" w:rsidRDefault="00A34A7C" w:rsidP="00A34A7C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A34A7C" w:rsidRPr="00436F64" w:rsidSect="00A34A7C">
      <w:type w:val="continuous"/>
      <w:pgSz w:w="11900" w:h="16840"/>
      <w:pgMar w:top="1100" w:right="1260" w:bottom="1276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0FFE3" w14:textId="77777777" w:rsidR="00DE4D1C" w:rsidRDefault="00DE4D1C" w:rsidP="00554ABA">
      <w:r>
        <w:separator/>
      </w:r>
    </w:p>
  </w:endnote>
  <w:endnote w:type="continuationSeparator" w:id="0">
    <w:p w14:paraId="66412E53" w14:textId="77777777" w:rsidR="00DE4D1C" w:rsidRDefault="00DE4D1C" w:rsidP="0055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3320B" w14:textId="77777777" w:rsidR="00DE4D1C" w:rsidRDefault="00DE4D1C" w:rsidP="00554ABA">
      <w:r>
        <w:separator/>
      </w:r>
    </w:p>
  </w:footnote>
  <w:footnote w:type="continuationSeparator" w:id="0">
    <w:p w14:paraId="62780F95" w14:textId="77777777" w:rsidR="00DE4D1C" w:rsidRDefault="00DE4D1C" w:rsidP="00554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5A7"/>
    <w:rsid w:val="0007437C"/>
    <w:rsid w:val="00103DDB"/>
    <w:rsid w:val="001E148D"/>
    <w:rsid w:val="00554ABA"/>
    <w:rsid w:val="005D5EA4"/>
    <w:rsid w:val="00A34A7C"/>
    <w:rsid w:val="00BE3378"/>
    <w:rsid w:val="00DB4151"/>
    <w:rsid w:val="00DE15A7"/>
    <w:rsid w:val="00DE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6D3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B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4AB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A34A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7</cp:revision>
  <dcterms:created xsi:type="dcterms:W3CDTF">2018-03-27T10:30:00Z</dcterms:created>
  <dcterms:modified xsi:type="dcterms:W3CDTF">2019-11-18T11:37:00Z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